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E1" w:rsidRPr="00E26345" w:rsidRDefault="000C4BE1" w:rsidP="000C4BE1">
      <w:pPr>
        <w:spacing w:line="480" w:lineRule="auto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Suppl</w:t>
      </w:r>
      <w:r w:rsidRPr="00E26345">
        <w:rPr>
          <w:rFonts w:asciiTheme="majorBidi" w:hAnsiTheme="majorBidi" w:cstheme="majorBidi"/>
          <w:b/>
          <w:bCs/>
          <w:color w:val="000000" w:themeColor="text1"/>
        </w:rPr>
        <w:t xml:space="preserve"> 3:</w:t>
      </w:r>
      <w:r w:rsidRPr="00E26345">
        <w:rPr>
          <w:rFonts w:asciiTheme="majorBidi" w:hAnsiTheme="majorBidi" w:cstheme="majorBidi"/>
          <w:color w:val="000000" w:themeColor="text1"/>
        </w:rPr>
        <w:t xml:space="preserve"> Average savings per patient (the benefit of a FLS system) for hospital versus health insurance for reduction in secondary fractures, adjusted for cohort of 83 patients (same as intervention group) - in USD</w:t>
      </w:r>
    </w:p>
    <w:tbl>
      <w:tblPr>
        <w:tblStyle w:val="LightGrid"/>
        <w:tblW w:w="9360" w:type="dxa"/>
        <w:tblInd w:w="-432" w:type="dxa"/>
        <w:tblLayout w:type="fixed"/>
        <w:tblLook w:val="04A0"/>
      </w:tblPr>
      <w:tblGrid>
        <w:gridCol w:w="1530"/>
        <w:gridCol w:w="1350"/>
        <w:gridCol w:w="1170"/>
        <w:gridCol w:w="1260"/>
        <w:gridCol w:w="1260"/>
        <w:gridCol w:w="1350"/>
        <w:gridCol w:w="1440"/>
      </w:tblGrid>
      <w:tr w:rsidR="000C4BE1" w:rsidRPr="00E26345" w:rsidTr="00E0196E">
        <w:trPr>
          <w:cnfStyle w:val="100000000000"/>
          <w:trHeight w:val="3580"/>
        </w:trPr>
        <w:tc>
          <w:tcPr>
            <w:cnfStyle w:val="001000000000"/>
            <w:tcW w:w="1530" w:type="dxa"/>
          </w:tcPr>
          <w:p w:rsidR="000C4BE1" w:rsidRPr="00E26345" w:rsidRDefault="000C4BE1" w:rsidP="00E0196E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Fracture Type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10000000000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Difference in re-fracture rate – 2 year difference*</w:t>
            </w:r>
          </w:p>
        </w:tc>
        <w:tc>
          <w:tcPr>
            <w:tcW w:w="1170" w:type="dxa"/>
          </w:tcPr>
          <w:p w:rsidR="000C4BE1" w:rsidRPr="00E26345" w:rsidRDefault="000C4BE1" w:rsidP="00E0196E">
            <w:pPr>
              <w:spacing w:line="480" w:lineRule="auto"/>
              <w:cnfStyle w:val="10000000000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Adjusted for FLS effective-ness</w:t>
            </w: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10000000000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Average cost for treatment</w:t>
            </w:r>
          </w:p>
          <w:p w:rsidR="000C4BE1" w:rsidRPr="00E26345" w:rsidRDefault="000C4BE1" w:rsidP="00E0196E">
            <w:pPr>
              <w:spacing w:line="480" w:lineRule="auto"/>
              <w:cnfStyle w:val="10000000000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 xml:space="preserve">Hospital </w:t>
            </w: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10000000000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 xml:space="preserve">Average cost for treatment health insurance 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10000000000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Adjusted cost savings per patient - hospital</w:t>
            </w:r>
          </w:p>
        </w:tc>
        <w:tc>
          <w:tcPr>
            <w:tcW w:w="1440" w:type="dxa"/>
          </w:tcPr>
          <w:p w:rsidR="000C4BE1" w:rsidRPr="00E26345" w:rsidRDefault="000C4BE1" w:rsidP="00E0196E">
            <w:pPr>
              <w:spacing w:line="480" w:lineRule="auto"/>
              <w:cnfStyle w:val="10000000000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Adjusted cost savings per patient - health insurance</w:t>
            </w:r>
          </w:p>
        </w:tc>
      </w:tr>
      <w:tr w:rsidR="000C4BE1" w:rsidRPr="00E26345" w:rsidTr="00E0196E">
        <w:trPr>
          <w:cnfStyle w:val="000000100000"/>
        </w:trPr>
        <w:tc>
          <w:tcPr>
            <w:cnfStyle w:val="001000000000"/>
            <w:tcW w:w="1530" w:type="dxa"/>
          </w:tcPr>
          <w:p w:rsidR="000C4BE1" w:rsidRPr="00E26345" w:rsidRDefault="000C4BE1" w:rsidP="00E0196E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Hip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1.5%</w:t>
            </w:r>
          </w:p>
        </w:tc>
        <w:tc>
          <w:tcPr>
            <w:tcW w:w="117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1.11%</w:t>
            </w: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4132</w:t>
            </w: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14,670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45.9</w:t>
            </w:r>
          </w:p>
        </w:tc>
        <w:tc>
          <w:tcPr>
            <w:tcW w:w="144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163</w:t>
            </w:r>
          </w:p>
        </w:tc>
      </w:tr>
      <w:tr w:rsidR="000C4BE1" w:rsidRPr="00E26345" w:rsidTr="00E0196E">
        <w:trPr>
          <w:cnfStyle w:val="000000010000"/>
          <w:trHeight w:val="997"/>
        </w:trPr>
        <w:tc>
          <w:tcPr>
            <w:cnfStyle w:val="001000000000"/>
            <w:tcW w:w="1530" w:type="dxa"/>
          </w:tcPr>
          <w:p w:rsidR="000C4BE1" w:rsidRPr="00E26345" w:rsidRDefault="000C4BE1" w:rsidP="00E0196E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Vertebral**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1.9%</w:t>
            </w:r>
          </w:p>
        </w:tc>
        <w:tc>
          <w:tcPr>
            <w:tcW w:w="117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1.41%</w:t>
            </w: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-1272 (profit)</w:t>
            </w: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4085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- 17.9 (profit)</w:t>
            </w:r>
          </w:p>
        </w:tc>
        <w:tc>
          <w:tcPr>
            <w:tcW w:w="144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57.6</w:t>
            </w:r>
          </w:p>
        </w:tc>
      </w:tr>
      <w:tr w:rsidR="000C4BE1" w:rsidRPr="00E26345" w:rsidTr="00E0196E">
        <w:trPr>
          <w:cnfStyle w:val="000000100000"/>
        </w:trPr>
        <w:tc>
          <w:tcPr>
            <w:cnfStyle w:val="001000000000"/>
            <w:tcW w:w="1530" w:type="dxa"/>
          </w:tcPr>
          <w:p w:rsidR="000C4BE1" w:rsidRPr="00E26345" w:rsidRDefault="000C4BE1" w:rsidP="00E0196E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Non-vertebral***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3.1%</w:t>
            </w:r>
          </w:p>
        </w:tc>
        <w:tc>
          <w:tcPr>
            <w:tcW w:w="117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2.23%</w:t>
            </w: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-605 (profit)</w:t>
            </w: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3114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-13 (profit)</w:t>
            </w:r>
          </w:p>
        </w:tc>
        <w:tc>
          <w:tcPr>
            <w:tcW w:w="1440" w:type="dxa"/>
          </w:tcPr>
          <w:p w:rsidR="000C4BE1" w:rsidRPr="00E26345" w:rsidRDefault="000C4BE1" w:rsidP="00E0196E">
            <w:pPr>
              <w:spacing w:line="480" w:lineRule="auto"/>
              <w:cnfStyle w:val="00000010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69</w:t>
            </w:r>
          </w:p>
        </w:tc>
      </w:tr>
      <w:tr w:rsidR="000C4BE1" w:rsidRPr="00E26345" w:rsidTr="00E0196E">
        <w:trPr>
          <w:cnfStyle w:val="000000010000"/>
        </w:trPr>
        <w:tc>
          <w:tcPr>
            <w:cnfStyle w:val="001000000000"/>
            <w:tcW w:w="1530" w:type="dxa"/>
          </w:tcPr>
          <w:p w:rsidR="000C4BE1" w:rsidRPr="00E26345" w:rsidRDefault="000C4BE1" w:rsidP="00E0196E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Total per year x 2</w:t>
            </w: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7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35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15 x 2 = 30</w:t>
            </w:r>
          </w:p>
        </w:tc>
        <w:tc>
          <w:tcPr>
            <w:tcW w:w="1440" w:type="dxa"/>
          </w:tcPr>
          <w:p w:rsidR="000C4BE1" w:rsidRPr="00E26345" w:rsidRDefault="000C4BE1" w:rsidP="00E0196E">
            <w:pPr>
              <w:spacing w:line="480" w:lineRule="auto"/>
              <w:cnfStyle w:val="00000001000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289.6 x 2 = 579</w:t>
            </w:r>
          </w:p>
        </w:tc>
      </w:tr>
    </w:tbl>
    <w:p w:rsidR="000C4BE1" w:rsidRPr="00E26345" w:rsidRDefault="000C4BE1" w:rsidP="000C4BE1">
      <w:pPr>
        <w:spacing w:line="480" w:lineRule="auto"/>
        <w:rPr>
          <w:rFonts w:asciiTheme="majorBidi" w:hAnsiTheme="majorBidi" w:cstheme="majorBidi"/>
          <w:color w:val="000000" w:themeColor="text1"/>
          <w:vertAlign w:val="superscript"/>
        </w:rPr>
      </w:pPr>
      <w:r w:rsidRPr="00E26345">
        <w:rPr>
          <w:rFonts w:asciiTheme="majorBidi" w:hAnsiTheme="majorBidi" w:cstheme="majorBidi"/>
          <w:color w:val="000000" w:themeColor="text1"/>
        </w:rPr>
        <w:t>* Horizon study (Lyles)</w:t>
      </w:r>
      <w:r w:rsidRPr="00E26345">
        <w:rPr>
          <w:rFonts w:asciiTheme="majorBidi" w:hAnsiTheme="majorBidi" w:cstheme="majorBidi"/>
          <w:color w:val="000000" w:themeColor="text1"/>
          <w:vertAlign w:val="superscript"/>
        </w:rPr>
        <w:t>2</w:t>
      </w:r>
    </w:p>
    <w:p w:rsidR="000C4BE1" w:rsidRPr="00E26345" w:rsidRDefault="000C4BE1" w:rsidP="000C4BE1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 xml:space="preserve">**Vertebral – the DRG for surgical treatment is high enough for the hospital to profit </w:t>
      </w:r>
    </w:p>
    <w:p w:rsidR="000C4BE1" w:rsidRPr="00E26345" w:rsidRDefault="000C4BE1" w:rsidP="000C4BE1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>*** See additional material in the Appendix</w:t>
      </w:r>
    </w:p>
    <w:p w:rsidR="000C4BE1" w:rsidRPr="007C62F4" w:rsidRDefault="000C4BE1" w:rsidP="000C4BE1"/>
    <w:p w:rsidR="0079450D" w:rsidRDefault="0079450D"/>
    <w:sectPr w:rsidR="0079450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0C4BE1"/>
    <w:rsid w:val="000C4BE1"/>
    <w:rsid w:val="0079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0C4BE1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2023-01-07T12:52:00Z</dcterms:created>
  <dcterms:modified xsi:type="dcterms:W3CDTF">2023-01-07T12:52:00Z</dcterms:modified>
</cp:coreProperties>
</file>